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9CA1" w14:textId="77777777" w:rsidR="00C667F6" w:rsidRDefault="00C667F6" w:rsidP="00C667F6">
      <w:pPr>
        <w:spacing w:after="0"/>
        <w:jc w:val="center"/>
        <w:rPr>
          <w:b/>
          <w:sz w:val="32"/>
        </w:rPr>
      </w:pPr>
      <w:r>
        <w:rPr>
          <w:b/>
          <w:sz w:val="32"/>
        </w:rPr>
        <w:t xml:space="preserve">University of Washington </w:t>
      </w:r>
    </w:p>
    <w:p w14:paraId="206F94C2" w14:textId="24238456" w:rsidR="002620FB" w:rsidRDefault="00C667F6" w:rsidP="00C667F6">
      <w:pPr>
        <w:spacing w:after="0"/>
        <w:jc w:val="center"/>
      </w:pPr>
      <w:r>
        <w:rPr>
          <w:b/>
          <w:sz w:val="32"/>
        </w:rPr>
        <w:t>Otolaryngology–Head &amp; Neck Surgery Residency</w:t>
      </w:r>
      <w:r>
        <w:rPr>
          <w:b/>
          <w:sz w:val="32"/>
        </w:rPr>
        <w:br/>
        <w:t>Eligibility and Selection Policy</w:t>
      </w:r>
    </w:p>
    <w:p w14:paraId="73AA902B" w14:textId="77777777" w:rsidR="002620FB" w:rsidRDefault="00C667F6">
      <w:pPr>
        <w:pStyle w:val="Heading2"/>
      </w:pPr>
      <w:r>
        <w:t>Purpose</w:t>
      </w:r>
    </w:p>
    <w:p w14:paraId="7169BC93" w14:textId="74E3CE03" w:rsidR="002620FB" w:rsidRDefault="00C667F6">
      <w:r>
        <w:t xml:space="preserve">The University of Washington Otolaryngology–Head &amp; Neck Surgery Residency Eligibility and Selection Policy is designed to ensure fair, </w:t>
      </w:r>
      <w:r>
        <w:t xml:space="preserve">equitable, and holistic consideration of all applicants. Recruitment and appointment of residents are conducted by the Program Director, Department Chair, and faculty under the oversight of the Graduate Medical Education Committee (GMEC) and the Office of </w:t>
      </w:r>
      <w:r>
        <w:t>Graduate Medical Education (GME).</w:t>
      </w:r>
      <w:r>
        <w:br/>
      </w:r>
      <w:r>
        <w:br/>
        <w:t xml:space="preserve">The residency selection process attracts a large number and wide range of competitive and </w:t>
      </w:r>
      <w:r>
        <w:t>highly qualified applicants. Applications are accepted through the Electronic Residency Application Service (ERAS), and interviews are offered in accord</w:t>
      </w:r>
      <w:r>
        <w:t>ance with National Resident Matching Program (NRMP) policies and timelines.</w:t>
      </w:r>
    </w:p>
    <w:p w14:paraId="00745675" w14:textId="77777777" w:rsidR="002620FB" w:rsidRDefault="00C667F6">
      <w:pPr>
        <w:pStyle w:val="Heading2"/>
      </w:pPr>
      <w:r>
        <w:t>Application Requirements</w:t>
      </w:r>
    </w:p>
    <w:p w14:paraId="0A256E25" w14:textId="0DEA1CA4" w:rsidR="002620FB" w:rsidRPr="00C667F6" w:rsidRDefault="00C667F6" w:rsidP="00C667F6">
      <w:pPr>
        <w:spacing w:after="0"/>
      </w:pPr>
      <w:r w:rsidRPr="00C667F6">
        <w:t>The following materials are required for consideration:</w:t>
      </w:r>
    </w:p>
    <w:p w14:paraId="2B2EE8C3" w14:textId="77777777" w:rsidR="00C667F6" w:rsidRPr="00C667F6" w:rsidRDefault="00C667F6" w:rsidP="00C667F6">
      <w:pPr>
        <w:pStyle w:val="NoSpacing"/>
        <w:rPr>
          <w:rFonts w:cs="Times New Roman"/>
          <w:sz w:val="24"/>
          <w:szCs w:val="24"/>
        </w:rPr>
      </w:pPr>
      <w:r w:rsidRPr="00C667F6">
        <w:rPr>
          <w:rFonts w:cs="Times New Roman"/>
          <w:sz w:val="24"/>
          <w:szCs w:val="24"/>
        </w:rPr>
        <w:t xml:space="preserve">• ERAS Common Application </w:t>
      </w:r>
    </w:p>
    <w:p w14:paraId="41A45835" w14:textId="77777777" w:rsidR="00C667F6" w:rsidRPr="00C667F6" w:rsidRDefault="00C667F6" w:rsidP="00C667F6">
      <w:pPr>
        <w:pStyle w:val="NoSpacing"/>
        <w:rPr>
          <w:rFonts w:cs="Times New Roman"/>
          <w:sz w:val="24"/>
          <w:szCs w:val="24"/>
        </w:rPr>
      </w:pPr>
      <w:r w:rsidRPr="00C667F6">
        <w:rPr>
          <w:rFonts w:cs="Times New Roman"/>
          <w:sz w:val="24"/>
          <w:szCs w:val="24"/>
        </w:rPr>
        <w:t xml:space="preserve">• Personal Statement </w:t>
      </w:r>
    </w:p>
    <w:p w14:paraId="58D8BB26" w14:textId="77777777" w:rsidR="00C667F6" w:rsidRPr="00C667F6" w:rsidRDefault="00C667F6" w:rsidP="00C667F6">
      <w:pPr>
        <w:pStyle w:val="NoSpacing"/>
        <w:rPr>
          <w:rFonts w:cs="Times New Roman"/>
          <w:sz w:val="24"/>
          <w:szCs w:val="24"/>
        </w:rPr>
      </w:pPr>
      <w:r w:rsidRPr="00C667F6">
        <w:rPr>
          <w:rFonts w:cs="Times New Roman"/>
          <w:sz w:val="24"/>
          <w:szCs w:val="24"/>
        </w:rPr>
        <w:t>• Medical School Transcript</w:t>
      </w:r>
    </w:p>
    <w:p w14:paraId="0D908F1A" w14:textId="77777777" w:rsidR="00C667F6" w:rsidRPr="00C667F6" w:rsidRDefault="00C667F6" w:rsidP="00C667F6">
      <w:pPr>
        <w:pStyle w:val="NoSpacing"/>
        <w:rPr>
          <w:rFonts w:cs="Times New Roman"/>
          <w:sz w:val="24"/>
          <w:szCs w:val="24"/>
        </w:rPr>
      </w:pPr>
      <w:r w:rsidRPr="00C667F6">
        <w:rPr>
          <w:rFonts w:cs="Times New Roman"/>
          <w:sz w:val="24"/>
          <w:szCs w:val="24"/>
        </w:rPr>
        <w:t xml:space="preserve">• Dean’s Letter or MSPE </w:t>
      </w:r>
    </w:p>
    <w:p w14:paraId="7DCE9A4E" w14:textId="77777777" w:rsidR="00C667F6" w:rsidRPr="00C667F6" w:rsidRDefault="00C667F6" w:rsidP="00C667F6">
      <w:pPr>
        <w:pStyle w:val="NoSpacing"/>
        <w:rPr>
          <w:rFonts w:cs="Times New Roman"/>
          <w:sz w:val="24"/>
          <w:szCs w:val="24"/>
        </w:rPr>
      </w:pPr>
      <w:r w:rsidRPr="00C667F6">
        <w:rPr>
          <w:rFonts w:cs="Times New Roman"/>
          <w:sz w:val="24"/>
          <w:szCs w:val="24"/>
        </w:rPr>
        <w:t>• USMLE, COMLEX and/or equivalent scores if available</w:t>
      </w:r>
    </w:p>
    <w:p w14:paraId="7A029593" w14:textId="77777777" w:rsidR="00C667F6" w:rsidRPr="00C667F6" w:rsidRDefault="00C667F6" w:rsidP="00C667F6">
      <w:pPr>
        <w:pStyle w:val="NoSpacing"/>
        <w:rPr>
          <w:rFonts w:cs="Times New Roman"/>
          <w:sz w:val="24"/>
          <w:szCs w:val="24"/>
        </w:rPr>
      </w:pPr>
      <w:r w:rsidRPr="00C667F6">
        <w:rPr>
          <w:rFonts w:cs="Times New Roman"/>
          <w:sz w:val="24"/>
          <w:szCs w:val="24"/>
        </w:rPr>
        <w:t>• Three (3) Letters of Recommendation</w:t>
      </w:r>
    </w:p>
    <w:p w14:paraId="50311054" w14:textId="68688EE3" w:rsidR="00C667F6" w:rsidRPr="00C667F6" w:rsidRDefault="00C667F6" w:rsidP="00C667F6">
      <w:pPr>
        <w:pStyle w:val="NoSpacing"/>
        <w:rPr>
          <w:rFonts w:cs="Times New Roman"/>
          <w:sz w:val="24"/>
          <w:szCs w:val="24"/>
        </w:rPr>
      </w:pPr>
      <w:r w:rsidRPr="00C667F6">
        <w:rPr>
          <w:rFonts w:cs="Times New Roman"/>
          <w:b/>
          <w:sz w:val="24"/>
          <w:szCs w:val="24"/>
        </w:rPr>
        <w:t>*</w:t>
      </w:r>
      <w:r w:rsidRPr="00C667F6">
        <w:rPr>
          <w:rFonts w:cs="Times New Roman"/>
          <w:sz w:val="24"/>
          <w:szCs w:val="24"/>
        </w:rPr>
        <w:t xml:space="preserve"> US Citizen or Green Card Holder (for NIH </w:t>
      </w:r>
      <w:r w:rsidRPr="00C667F6">
        <w:rPr>
          <w:rFonts w:cs="Times New Roman"/>
          <w:sz w:val="24"/>
          <w:szCs w:val="24"/>
        </w:rPr>
        <w:t xml:space="preserve">R25 </w:t>
      </w:r>
      <w:r w:rsidRPr="00C667F6">
        <w:rPr>
          <w:rFonts w:cs="Times New Roman"/>
          <w:sz w:val="24"/>
          <w:szCs w:val="24"/>
        </w:rPr>
        <w:t>grant-funding)</w:t>
      </w:r>
    </w:p>
    <w:p w14:paraId="69598ACE" w14:textId="77777777" w:rsidR="00C667F6" w:rsidRDefault="00C667F6"/>
    <w:p w14:paraId="58FF384A" w14:textId="77777777" w:rsidR="002620FB" w:rsidRDefault="00C667F6">
      <w:pPr>
        <w:pStyle w:val="Heading2"/>
      </w:pPr>
      <w:r>
        <w:t>Application Review Process</w:t>
      </w:r>
    </w:p>
    <w:p w14:paraId="521F52B9" w14:textId="77777777" w:rsidR="002620FB" w:rsidRDefault="00C667F6">
      <w:r>
        <w:t xml:space="preserve">All submitted applications are reviewed holistically using standardized </w:t>
      </w:r>
      <w:r>
        <w:t>evaluation criteria by multiple faculty reviewers. The Applicant Review Committee selects candidates for interview based on a comprehensive assessment of each application.</w:t>
      </w:r>
      <w:r>
        <w:br/>
      </w:r>
      <w:r>
        <w:br/>
        <w:t>Review factors may include, but are not limited to:</w:t>
      </w:r>
      <w:r>
        <w:br/>
        <w:t>• Academic performance</w:t>
      </w:r>
      <w:r>
        <w:br/>
        <w:t>• Clinic</w:t>
      </w:r>
      <w:r>
        <w:t>al performance</w:t>
      </w:r>
      <w:r>
        <w:br/>
        <w:t>• Letters of recommendation</w:t>
      </w:r>
      <w:r>
        <w:br/>
        <w:t>• Research and scholarly activity</w:t>
      </w:r>
      <w:r>
        <w:br/>
        <w:t>• Leadership, service, and extracurricular involvement</w:t>
      </w:r>
      <w:r>
        <w:br/>
        <w:t>• Professionalism and interpersonal skills</w:t>
      </w:r>
      <w:r>
        <w:br/>
        <w:t>• Career goals and alignment with the mission of the program</w:t>
      </w:r>
      <w:r>
        <w:br/>
      </w:r>
      <w:r>
        <w:br/>
        <w:t>Interview invitatio</w:t>
      </w:r>
      <w:r>
        <w:t>ns are distributed through Thalamus.</w:t>
      </w:r>
    </w:p>
    <w:p w14:paraId="16B571A7" w14:textId="77777777" w:rsidR="002620FB" w:rsidRDefault="00C667F6">
      <w:pPr>
        <w:pStyle w:val="Heading2"/>
      </w:pPr>
      <w:r>
        <w:lastRenderedPageBreak/>
        <w:t>Interview Process</w:t>
      </w:r>
    </w:p>
    <w:p w14:paraId="49D5E377" w14:textId="1CE13F32" w:rsidR="002620FB" w:rsidRDefault="00C667F6">
      <w:r>
        <w:t>The interview process involves faculty members, including clinicians and basic science researchers, as well as resident physicians.</w:t>
      </w:r>
      <w:r>
        <w:br/>
      </w:r>
      <w:r>
        <w:br/>
        <w:t>Applicants are encouraged to review materials available on the progr</w:t>
      </w:r>
      <w:r>
        <w:t>am website to become familiar with the structure, mission, and educational opportunities of the residency program.</w:t>
      </w:r>
      <w:r>
        <w:br/>
      </w:r>
      <w:r>
        <w:br/>
        <w:t xml:space="preserve">On the interview day, applicants participate in a brief introductory session followed by interviews with residents, </w:t>
      </w:r>
      <w:r>
        <w:t xml:space="preserve">faculty members, </w:t>
      </w:r>
      <w:r>
        <w:t>the Pro</w:t>
      </w:r>
      <w:r>
        <w:t>gram Director (Dr. Tanya Meyer)</w:t>
      </w:r>
      <w:r>
        <w:t xml:space="preserve"> and </w:t>
      </w:r>
      <w:r>
        <w:t>the Department Chair (Dr. Matt Old).</w:t>
      </w:r>
      <w:r>
        <w:t xml:space="preserve"> Interviewers evaluate applicants across multiple domains, including:</w:t>
      </w:r>
      <w:r>
        <w:br/>
      </w:r>
      <w:r>
        <w:br/>
        <w:t>• Academic and medical school performance</w:t>
      </w:r>
      <w:r>
        <w:br/>
        <w:t>• Letters of recommendation</w:t>
      </w:r>
      <w:r>
        <w:br/>
        <w:t>• Interview performance</w:t>
      </w:r>
      <w:r>
        <w:br/>
        <w:t>• Research and sch</w:t>
      </w:r>
      <w:r>
        <w:t>olarly interests</w:t>
      </w:r>
      <w:r>
        <w:br/>
        <w:t>• Career goals and accomplishments</w:t>
      </w:r>
      <w:r>
        <w:br/>
        <w:t>• Interpersonal and professional attributes</w:t>
      </w:r>
      <w:r>
        <w:br/>
      </w:r>
      <w:r>
        <w:br/>
        <w:t>Interviewers utilize both application materials and direct interactions with applicants when completing evaluations and summary comments.</w:t>
      </w:r>
      <w:r>
        <w:br/>
      </w:r>
      <w:r>
        <w:br/>
        <w:t>Applicants also have</w:t>
      </w:r>
      <w:r>
        <w:t xml:space="preserve"> opportunities to interact with current residents through interview-day activities, the resident dinner, and informal discussions regarding the program and the Seattle community.</w:t>
      </w:r>
    </w:p>
    <w:p w14:paraId="2D84373B" w14:textId="77777777" w:rsidR="002620FB" w:rsidRDefault="00C667F6">
      <w:pPr>
        <w:pStyle w:val="Heading2"/>
      </w:pPr>
      <w:r>
        <w:t>Rank List Development</w:t>
      </w:r>
    </w:p>
    <w:p w14:paraId="44479498" w14:textId="77777777" w:rsidR="002620FB" w:rsidRDefault="00C667F6">
      <w:r>
        <w:t xml:space="preserve">Development of the residency rank list is conducted by </w:t>
      </w:r>
      <w:r>
        <w:t>a designated ranking committee composed of faculty and resident interviewers utilizing the criteria described above. Whether or not an applicant signaled the program during the initial application process will not be considered during final rank list delib</w:t>
      </w:r>
      <w:r>
        <w:t>erations.</w:t>
      </w:r>
      <w:r>
        <w:br/>
      </w:r>
      <w:r>
        <w:br/>
        <w:t>Applicants are welcome to contact the program with additional questions following the interview. However, in accordance with NRMP policies, the program may not communicate relative ranking intentions or otherwise imply an applicant’s position on</w:t>
      </w:r>
      <w:r>
        <w:t xml:space="preserve"> the rank list, as such communication constitutes a violation of NRMP guidelines.</w:t>
      </w:r>
      <w:r>
        <w:br/>
      </w:r>
      <w:r>
        <w:br/>
        <w:t>The Program Director and Department Chair retain the authority to review and finalize the rank list prior to submission to the NRMP. The Director of the Office of Graduate M</w:t>
      </w:r>
      <w:r>
        <w:t>edical Education Program Assessment and Development, along with the institution’s GMEC, reviews Match outcomes annually.</w:t>
      </w:r>
    </w:p>
    <w:p w14:paraId="091C73F9" w14:textId="77777777" w:rsidR="002620FB" w:rsidRDefault="00C667F6">
      <w:pPr>
        <w:pStyle w:val="Heading2"/>
      </w:pPr>
      <w:r>
        <w:lastRenderedPageBreak/>
        <w:t>Match Vacancies and SOAP</w:t>
      </w:r>
    </w:p>
    <w:p w14:paraId="2399C863" w14:textId="560ABE85" w:rsidR="002620FB" w:rsidRDefault="00C667F6">
      <w:r>
        <w:t>In the event of unfilled residency positions following the Match, the department will participate in the Suppl</w:t>
      </w:r>
      <w:r>
        <w:t>emental Offer and Acceptance Program (SOAP). Additional information regarding SOAP is available through the NRMP website.</w:t>
      </w:r>
    </w:p>
    <w:p w14:paraId="753BDB57" w14:textId="68DC65CF" w:rsidR="00C667F6" w:rsidRDefault="00C667F6"/>
    <w:p w14:paraId="6A3A9A3A" w14:textId="653B8FB7" w:rsidR="00C667F6" w:rsidRDefault="00C667F6"/>
    <w:p w14:paraId="390547DB" w14:textId="1AA27760" w:rsidR="00C667F6" w:rsidRDefault="00C667F6"/>
    <w:p w14:paraId="65CA570B" w14:textId="1E7A318A" w:rsidR="00C667F6" w:rsidRDefault="00C667F6"/>
    <w:p w14:paraId="50CB4E3A" w14:textId="2284F1C5" w:rsidR="00C667F6" w:rsidRDefault="00C667F6"/>
    <w:p w14:paraId="613BDF37" w14:textId="77777777" w:rsidR="00C667F6" w:rsidRDefault="00C667F6"/>
    <w:p w14:paraId="5DA948E4" w14:textId="077D4A8E" w:rsidR="002620FB" w:rsidRDefault="00C667F6">
      <w:r>
        <w:t xml:space="preserve">* Per National Institutes of Health (NIH) requirements, participants in NIH grant-funded positions must be U.S. citizens or permanent </w:t>
      </w:r>
      <w:r>
        <w:t xml:space="preserve">residents. </w:t>
      </w:r>
      <w:r>
        <w:t>T</w:t>
      </w:r>
      <w:r>
        <w:t>his requirement applies due to the research components of the UW Otolaryngology–Head &amp; Neck Surgery Residency Program</w:t>
      </w:r>
      <w:r>
        <w:t>.</w:t>
      </w:r>
    </w:p>
    <w:p w14:paraId="4CA021A4" w14:textId="36377AD4" w:rsidR="00C667F6" w:rsidRDefault="00C667F6"/>
    <w:p w14:paraId="096FE039" w14:textId="23F9AFF1" w:rsidR="00C667F6" w:rsidRDefault="00C667F6"/>
    <w:p w14:paraId="65DB7ADD" w14:textId="77777777" w:rsidR="00C667F6" w:rsidRPr="0052242C" w:rsidRDefault="00C667F6" w:rsidP="00C667F6">
      <w:pPr>
        <w:spacing w:after="0"/>
        <w:rPr>
          <w:rFonts w:ascii="Times New Roman" w:hAnsi="Times New Roman" w:cs="Times New Roman"/>
          <w:sz w:val="20"/>
          <w:szCs w:val="20"/>
        </w:rPr>
      </w:pPr>
      <w:r w:rsidRPr="0052242C">
        <w:rPr>
          <w:rFonts w:ascii="Times New Roman" w:hAnsi="Times New Roman" w:cs="Times New Roman"/>
          <w:sz w:val="20"/>
          <w:szCs w:val="20"/>
        </w:rPr>
        <w:t>Effective 2011</w:t>
      </w:r>
    </w:p>
    <w:p w14:paraId="30054A93" w14:textId="77777777" w:rsidR="00C667F6" w:rsidRPr="0052242C" w:rsidRDefault="00C667F6" w:rsidP="00C667F6">
      <w:pPr>
        <w:spacing w:after="0"/>
        <w:rPr>
          <w:rFonts w:ascii="Times New Roman" w:hAnsi="Times New Roman" w:cs="Times New Roman"/>
          <w:sz w:val="20"/>
          <w:szCs w:val="20"/>
        </w:rPr>
      </w:pPr>
      <w:r w:rsidRPr="0052242C">
        <w:rPr>
          <w:rFonts w:ascii="Times New Roman" w:hAnsi="Times New Roman" w:cs="Times New Roman"/>
          <w:sz w:val="20"/>
          <w:szCs w:val="20"/>
        </w:rPr>
        <w:t>Revised:  2012, 2015, 2018, 2020, 2021, 2022, 2023, 2024, 2025, 2026</w:t>
      </w:r>
    </w:p>
    <w:p w14:paraId="3CDF8419" w14:textId="77777777" w:rsidR="00C667F6" w:rsidRDefault="00C667F6"/>
    <w:sectPr w:rsidR="00C667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20FB"/>
    <w:rsid w:val="0029639D"/>
    <w:rsid w:val="00326F90"/>
    <w:rsid w:val="00AA1D8D"/>
    <w:rsid w:val="00B47730"/>
    <w:rsid w:val="00C667F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34360"/>
  <w14:defaultImageDpi w14:val="300"/>
  <w15:docId w15:val="{60BD7E5C-C564-419B-A5BC-B35146A6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Tanya K. Meyer</cp:lastModifiedBy>
  <cp:revision>2</cp:revision>
  <dcterms:created xsi:type="dcterms:W3CDTF">2026-05-25T14:57:00Z</dcterms:created>
  <dcterms:modified xsi:type="dcterms:W3CDTF">2026-05-25T14:57:00Z</dcterms:modified>
  <cp:category/>
</cp:coreProperties>
</file>